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bookmarkStart w:colFirst="0" w:colLast="0" w:name="_heading=h.gjdgxs" w:id="0"/>
      <w:bookmarkEnd w:id="0"/>
      <w:r w:rsidDel="00000000" w:rsidR="00000000" w:rsidRPr="00000000">
        <w:rPr>
          <w:rtl w:val="0"/>
        </w:rPr>
        <w:t xml:space="preserve">Сліпі гроші: що треба знати про Blindengeld?</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Понад 125 тис. мешканців Німеччини користуються так званими «сліпими грошима», або Blindengeld (блінденгельд). Попри відсутність громадянства ФРН, українські біженці отримали можливість претендування на цю фінансову  підтримку. Проте, далеко не всі люди з порушенням зору мають право на блінденгельд. Тож, як їх отримати та на що витрачати?</w:t>
      </w:r>
    </w:p>
    <w:p w:rsidR="00000000" w:rsidDel="00000000" w:rsidP="00000000" w:rsidRDefault="00000000" w:rsidRPr="00000000" w14:paraId="00000004">
      <w:pPr>
        <w:pStyle w:val="Heading2"/>
        <w:pageBreakBefore w:val="0"/>
        <w:rPr/>
      </w:pPr>
      <w:bookmarkStart w:colFirst="0" w:colLast="0" w:name="_heading=h.30j0zll" w:id="1"/>
      <w:bookmarkEnd w:id="1"/>
      <w:r w:rsidDel="00000000" w:rsidR="00000000" w:rsidRPr="00000000">
        <w:rPr>
          <w:rtl w:val="0"/>
        </w:rPr>
        <w:t xml:space="preserve">Скільки та для чого?</w:t>
      </w:r>
    </w:p>
    <w:p w:rsidR="00000000" w:rsidDel="00000000" w:rsidP="00000000" w:rsidRDefault="00000000" w:rsidRPr="00000000" w14:paraId="00000005">
      <w:pPr>
        <w:pageBreakBefore w:val="0"/>
        <w:rPr>
          <w:color w:val="660000"/>
        </w:rPr>
      </w:pPr>
      <w:r w:rsidDel="00000000" w:rsidR="00000000" w:rsidRPr="00000000">
        <w:rPr>
          <w:rtl w:val="0"/>
        </w:rPr>
        <w:t xml:space="preserve">Блінденгельд є щомісячною виплатою для людей з глибокими порушеннями зору. Ці гроші призначені для придбання засобів побутової реабілітації, наприклад: лупи, озвученого термометра, стікерів для брайля тощо. </w:t>
      </w:r>
      <w:r w:rsidDel="00000000" w:rsidR="00000000" w:rsidRPr="00000000">
        <w:rPr>
          <w:color w:val="660000"/>
          <w:rtl w:val="0"/>
        </w:rPr>
        <w:t xml:space="preserve">За необхідністю «сліпими грошима» можна покрити поїздку в таксі. Деякі незрячі, які ще не отримали асистента, або не потребують його регулярної допомоги, витрачають блінденгельд на епізодичних помічників. Подібне зазвичай практикується, коли людина з інвалідністю має вирушити у незнайоме місце, через що потребує зрячу допомогу.</w:t>
      </w:r>
    </w:p>
    <w:p w:rsidR="00000000" w:rsidDel="00000000" w:rsidP="00000000" w:rsidRDefault="00000000" w:rsidRPr="00000000" w14:paraId="00000006">
      <w:pPr>
        <w:pageBreakBefore w:val="0"/>
        <w:rPr/>
      </w:pPr>
      <w:r w:rsidDel="00000000" w:rsidR="00000000" w:rsidRPr="00000000">
        <w:rPr>
          <w:rtl w:val="0"/>
        </w:rPr>
        <w:t xml:space="preserve">При цьому обсяг виплати значно відрізняється у різних федеральних землях. Він може складати від 300 до майже 800 євро. Розмір допомоги залежить від віку, рівня інвалідності особи та економічних реалій регіону.</w:t>
      </w:r>
    </w:p>
    <w:p w:rsidR="00000000" w:rsidDel="00000000" w:rsidP="00000000" w:rsidRDefault="00000000" w:rsidRPr="00000000" w14:paraId="00000007">
      <w:pPr>
        <w:pageBreakBefore w:val="0"/>
        <w:rPr>
          <w:color w:val="660000"/>
        </w:rPr>
      </w:pPr>
      <w:r w:rsidDel="00000000" w:rsidR="00000000" w:rsidRPr="00000000">
        <w:rPr>
          <w:rtl w:val="0"/>
        </w:rPr>
        <w:t xml:space="preserve">Блінденгельд часто плутають із блінденхільфе, проте це зовсім різні види фінансової допомоги. Варто наголосити, що інші соціальні виплати не впливають на розмір «сліпих грошей». Основним чинником, від якого залежить обсяг цієї допомоги, є гострота зору. Слід зазначити, що з блінденгельд не стягуються жодні податки. </w:t>
      </w:r>
      <w:r w:rsidDel="00000000" w:rsidR="00000000" w:rsidRPr="00000000">
        <w:rPr>
          <w:color w:val="660000"/>
          <w:rtl w:val="0"/>
        </w:rPr>
        <w:t xml:space="preserve">Ця виплата також не вважається прибутком.</w:t>
      </w:r>
    </w:p>
    <w:p w:rsidR="00000000" w:rsidDel="00000000" w:rsidP="00000000" w:rsidRDefault="00000000" w:rsidRPr="00000000" w14:paraId="00000008">
      <w:pPr>
        <w:pStyle w:val="Heading2"/>
        <w:pageBreakBefore w:val="0"/>
        <w:rPr/>
      </w:pPr>
      <w:bookmarkStart w:colFirst="0" w:colLast="0" w:name="_heading=h.1fob9te" w:id="2"/>
      <w:bookmarkEnd w:id="2"/>
      <w:r w:rsidDel="00000000" w:rsidR="00000000" w:rsidRPr="00000000">
        <w:rPr>
          <w:rtl w:val="0"/>
        </w:rPr>
        <w:t xml:space="preserve">Для кого виділяються гроші?</w:t>
      </w:r>
    </w:p>
    <w:p w:rsidR="00000000" w:rsidDel="00000000" w:rsidP="00000000" w:rsidRDefault="00000000" w:rsidRPr="00000000" w14:paraId="00000009">
      <w:pPr>
        <w:pageBreakBefore w:val="0"/>
        <w:rPr/>
      </w:pPr>
      <w:r w:rsidDel="00000000" w:rsidR="00000000" w:rsidRPr="00000000">
        <w:rPr>
          <w:rtl w:val="0"/>
        </w:rPr>
        <w:t xml:space="preserve">Оскільки збільшувальні та тифлоприлади є необхідними далеко не для всіх людей з інвалідністю по зору, блінденгельд призначаються лише окремим категоріям. Таку фінансову допомогу можуть отримати тотально незрячі та слабозори.</w:t>
      </w:r>
    </w:p>
    <w:p w:rsidR="00000000" w:rsidDel="00000000" w:rsidP="00000000" w:rsidRDefault="00000000" w:rsidRPr="00000000" w14:paraId="0000000A">
      <w:pPr>
        <w:pageBreakBefore w:val="0"/>
        <w:rPr/>
      </w:pPr>
      <w:r w:rsidDel="00000000" w:rsidR="00000000" w:rsidRPr="00000000">
        <w:rPr>
          <w:rtl w:val="0"/>
        </w:rPr>
        <w:t xml:space="preserve">Зазначимо, що в Німеччині відсутні групи інвалідності. Її ступінь визначається у відсотках.</w:t>
      </w:r>
      <w:r w:rsidDel="00000000" w:rsidR="00000000" w:rsidRPr="00000000">
        <w:rPr>
          <w:color w:val="660000"/>
          <w:rtl w:val="0"/>
        </w:rPr>
        <w:t xml:space="preserve"> Без сумнівів блінденгельд отримають пацієнти, у яких гострота зору не перевищує 2%. Претендувати на виплату також можуть люди із значним погіршенням зору. У таких пацієнтів гострота (Центрального/периферичного) зору на кращьому оці не має перевищувати 5%. При цьому,на отримання блінденгельд можна подавати не раніше, як через 1 рік після зниження зору.</w:t>
      </w: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t xml:space="preserve">Разом із тим існує певна категорія незрячих, які не можуть отримвати «сліпі гроші». До таких відносяться люди, що втратили зір на війні, внаслідок нещасного випадку, або через професійну діяльність. Ці категорії незрячих отримують компенсацію у вигляді страхових, чи пенсійних виплат.</w:t>
      </w:r>
    </w:p>
    <w:p w:rsidR="00000000" w:rsidDel="00000000" w:rsidP="00000000" w:rsidRDefault="00000000" w:rsidRPr="00000000" w14:paraId="0000000C">
      <w:pPr>
        <w:pageBreakBefore w:val="0"/>
        <w:rPr>
          <w:color w:val="660000"/>
        </w:rPr>
      </w:pPr>
      <w:r w:rsidDel="00000000" w:rsidR="00000000" w:rsidRPr="00000000">
        <w:rPr>
          <w:color w:val="660000"/>
          <w:rtl w:val="0"/>
        </w:rPr>
        <w:t xml:space="preserve">Розмір пільги переглядається у випадку, коли отримувач проживає у спеціалізованому пансіонаті, накшталт будинку пристарілих. У цьому випадку особа отримує додаткові надходження і система виплат суттєво змінюється. </w:t>
      </w:r>
    </w:p>
    <w:p w:rsidR="00000000" w:rsidDel="00000000" w:rsidP="00000000" w:rsidRDefault="00000000" w:rsidRPr="00000000" w14:paraId="0000000D">
      <w:pPr>
        <w:pStyle w:val="Heading2"/>
        <w:pageBreakBefore w:val="0"/>
        <w:rPr/>
      </w:pPr>
      <w:bookmarkStart w:colFirst="0" w:colLast="0" w:name="_heading=h.3znysh7" w:id="3"/>
      <w:bookmarkEnd w:id="3"/>
      <w:r w:rsidDel="00000000" w:rsidR="00000000" w:rsidRPr="00000000">
        <w:rPr>
          <w:rtl w:val="0"/>
        </w:rPr>
        <w:t xml:space="preserve">Як оформити?</w:t>
      </w:r>
    </w:p>
    <w:p w:rsidR="00000000" w:rsidDel="00000000" w:rsidP="00000000" w:rsidRDefault="00000000" w:rsidRPr="00000000" w14:paraId="0000000E">
      <w:pPr>
        <w:pageBreakBefore w:val="0"/>
        <w:rPr/>
      </w:pPr>
      <w:r w:rsidDel="00000000" w:rsidR="00000000" w:rsidRPr="00000000">
        <w:rPr>
          <w:rtl w:val="0"/>
        </w:rPr>
        <w:t xml:space="preserve">Славнозвісна німецька бюрократія не така страшна, як про неї інколи говорять. Оформити блінденгельд насправді доволі просто. </w:t>
      </w:r>
    </w:p>
    <w:p w:rsidR="00000000" w:rsidDel="00000000" w:rsidP="00000000" w:rsidRDefault="00000000" w:rsidRPr="00000000" w14:paraId="0000000F">
      <w:pPr>
        <w:pageBreakBefore w:val="0"/>
        <w:rPr>
          <w:color w:val="660000"/>
        </w:rPr>
      </w:pPr>
      <w:r w:rsidDel="00000000" w:rsidR="00000000" w:rsidRPr="00000000">
        <w:rPr>
          <w:color w:val="660000"/>
          <w:rtl w:val="0"/>
        </w:rPr>
        <w:t xml:space="preserve">Якщо у Вашому німецькому посвідченні про інвалідність (Schwerbehindertenausweis) стоїть маркування «BL» (blind) — це слугує достатнім обґрунтуванням для отримання блінденгельд. Достатньо надіслати копію посвідчення та заповнену анкету (Antrag) до відповідної служби.</w:t>
      </w:r>
    </w:p>
    <w:p w:rsidR="00000000" w:rsidDel="00000000" w:rsidP="00000000" w:rsidRDefault="00000000" w:rsidRPr="00000000" w14:paraId="00000010">
      <w:pPr>
        <w:pageBreakBefore w:val="0"/>
        <w:rPr>
          <w:color w:val="660000"/>
        </w:rPr>
      </w:pPr>
      <w:r w:rsidDel="00000000" w:rsidR="00000000" w:rsidRPr="00000000">
        <w:rPr>
          <w:color w:val="660000"/>
          <w:rtl w:val="0"/>
        </w:rPr>
        <w:t xml:space="preserve">Втім, для отримання «сліпих грошей» документ про інвалідність не є обов‘язковим. Його оформлення відбувається суто добровільно. У такому випадку для оформлення грошової допомоги необхідно отримати рекомендації від офтальмолога. Прихопіть з собою На прийом спеціальну анкету (Antrag) та бланк для медичного висновку (Augenfachärztliche Bescheinigung). Оскільки в анкету треба занести велику кількість інформації, краще заповнети її самотужки. В організації, відповідальній за нарахування блінденгельд, або в міській адміністрації (Stadtbüro) залюбки вам допоможуть. Лікар має сам заповнити Augenfachärztliche Bescheinigung. Оформлення цього документу не покривається страховою компанією (Krankenkasse), тому офтальмолог може виставити пацієнту персональний рахунок. Вартість варіюється від кількох десятків до сотен євро. Втім деякі медики виконують цю процедуру безкоштовно.</w:t>
      </w:r>
    </w:p>
    <w:p w:rsidR="00000000" w:rsidDel="00000000" w:rsidP="00000000" w:rsidRDefault="00000000" w:rsidRPr="00000000" w14:paraId="00000011">
      <w:pPr>
        <w:pageBreakBefore w:val="0"/>
        <w:rPr>
          <w:color w:val="660000"/>
        </w:rPr>
      </w:pPr>
      <w:r w:rsidDel="00000000" w:rsidR="00000000" w:rsidRPr="00000000">
        <w:rPr>
          <w:color w:val="660000"/>
          <w:rtl w:val="0"/>
        </w:rPr>
        <w:t xml:space="preserve">Документи потрібно надіслати до відповідального органу.</w:t>
      </w:r>
    </w:p>
    <w:p w:rsidR="00000000" w:rsidDel="00000000" w:rsidP="00000000" w:rsidRDefault="00000000" w:rsidRPr="00000000" w14:paraId="00000012">
      <w:pPr>
        <w:pageBreakBefore w:val="0"/>
        <w:rPr/>
      </w:pPr>
      <w:r w:rsidDel="00000000" w:rsidR="00000000" w:rsidRPr="00000000">
        <w:rPr>
          <w:b w:val="1"/>
          <w:rtl w:val="0"/>
        </w:rPr>
        <w:t xml:space="preserve">Важливо!</w:t>
      </w:r>
      <w:r w:rsidDel="00000000" w:rsidR="00000000" w:rsidRPr="00000000">
        <w:rPr>
          <w:rtl w:val="0"/>
        </w:rPr>
        <w:t xml:space="preserve"> У кожній федеральній землі оформленням блінденгельд займаються різні структури. На їхніх сайтах також можна скачати анкету (Antrag) та бланк (Augenfachärztliche Bescheinigung) для подання заявки.</w:t>
      </w:r>
    </w:p>
    <w:p w:rsidR="00000000" w:rsidDel="00000000" w:rsidP="00000000" w:rsidRDefault="00000000" w:rsidRPr="00000000" w14:paraId="00000013">
      <w:pPr>
        <w:pageBreakBefore w:val="0"/>
        <w:rPr/>
      </w:pPr>
      <w:r w:rsidDel="00000000" w:rsidR="00000000" w:rsidRPr="00000000">
        <w:rPr>
          <w:rtl w:val="0"/>
        </w:rPr>
        <w:t xml:space="preserve">Нижче представлені актуальні посилання для мешканців різних регіонів Німеччини:</w:t>
      </w:r>
    </w:p>
    <w:p w:rsidR="00000000" w:rsidDel="00000000" w:rsidP="00000000" w:rsidRDefault="00000000" w:rsidRPr="00000000" w14:paraId="00000014">
      <w:pPr>
        <w:pageBreakBefore w:val="0"/>
        <w:numPr>
          <w:ilvl w:val="0"/>
          <w:numId w:val="1"/>
        </w:numPr>
        <w:ind w:left="720" w:hanging="360"/>
        <w:rPr>
          <w:u w:val="none"/>
        </w:rPr>
      </w:pPr>
      <w:hyperlink r:id="rId7">
        <w:r w:rsidDel="00000000" w:rsidR="00000000" w:rsidRPr="00000000">
          <w:rPr>
            <w:color w:val="1155cc"/>
            <w:u w:val="single"/>
            <w:rtl w:val="0"/>
          </w:rPr>
          <w:t xml:space="preserve">Баварія</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u w:val="none"/>
        </w:rPr>
      </w:pPr>
      <w:hyperlink r:id="rId8">
        <w:r w:rsidDel="00000000" w:rsidR="00000000" w:rsidRPr="00000000">
          <w:rPr>
            <w:color w:val="1155cc"/>
            <w:u w:val="single"/>
            <w:rtl w:val="0"/>
          </w:rPr>
          <w:t xml:space="preserve">Баден-Вюрттемберг</w:t>
        </w:r>
      </w:hyperlink>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u w:val="none"/>
        </w:rPr>
      </w:pPr>
      <w:hyperlink r:id="rId9">
        <w:r w:rsidDel="00000000" w:rsidR="00000000" w:rsidRPr="00000000">
          <w:rPr>
            <w:color w:val="1155cc"/>
            <w:u w:val="single"/>
            <w:rtl w:val="0"/>
          </w:rPr>
          <w:t xml:space="preserve">Берлін</w:t>
        </w:r>
      </w:hyperlink>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u w:val="none"/>
        </w:rPr>
      </w:pPr>
      <w:hyperlink r:id="rId10">
        <w:r w:rsidDel="00000000" w:rsidR="00000000" w:rsidRPr="00000000">
          <w:rPr>
            <w:color w:val="1155cc"/>
            <w:u w:val="single"/>
            <w:rtl w:val="0"/>
          </w:rPr>
          <w:t xml:space="preserve">Бранденбург</w:t>
        </w:r>
      </w:hyperlink>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u w:val="none"/>
        </w:rPr>
      </w:pPr>
      <w:hyperlink r:id="rId11">
        <w:r w:rsidDel="00000000" w:rsidR="00000000" w:rsidRPr="00000000">
          <w:rPr>
            <w:color w:val="1155cc"/>
            <w:u w:val="single"/>
            <w:rtl w:val="0"/>
          </w:rPr>
          <w:t xml:space="preserve">Бремен</w:t>
        </w:r>
      </w:hyperlink>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u w:val="none"/>
        </w:rPr>
      </w:pPr>
      <w:hyperlink r:id="rId12">
        <w:r w:rsidDel="00000000" w:rsidR="00000000" w:rsidRPr="00000000">
          <w:rPr>
            <w:color w:val="1155cc"/>
            <w:u w:val="single"/>
            <w:rtl w:val="0"/>
          </w:rPr>
          <w:t xml:space="preserve">Гамбург</w:t>
        </w:r>
      </w:hyperlink>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rPr>
          <w:u w:val="none"/>
        </w:rPr>
      </w:pPr>
      <w:hyperlink r:id="rId13">
        <w:r w:rsidDel="00000000" w:rsidR="00000000" w:rsidRPr="00000000">
          <w:rPr>
            <w:color w:val="1155cc"/>
            <w:u w:val="single"/>
            <w:rtl w:val="0"/>
          </w:rPr>
          <w:t xml:space="preserve">Гессен</w:t>
        </w:r>
      </w:hyperlink>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u w:val="none"/>
        </w:rPr>
      </w:pPr>
      <w:hyperlink r:id="rId14">
        <w:r w:rsidDel="00000000" w:rsidR="00000000" w:rsidRPr="00000000">
          <w:rPr>
            <w:color w:val="1155cc"/>
            <w:u w:val="single"/>
            <w:rtl w:val="0"/>
          </w:rPr>
          <w:t xml:space="preserve">Заарланд</w:t>
        </w:r>
      </w:hyperlink>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u w:val="none"/>
        </w:rPr>
      </w:pPr>
      <w:hyperlink r:id="rId15">
        <w:r w:rsidDel="00000000" w:rsidR="00000000" w:rsidRPr="00000000">
          <w:rPr>
            <w:color w:val="1155cc"/>
            <w:u w:val="single"/>
            <w:rtl w:val="0"/>
          </w:rPr>
          <w:t xml:space="preserve">Мекленбург-Передня Померанія</w:t>
        </w:r>
      </w:hyperlink>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u w:val="none"/>
        </w:rPr>
      </w:pPr>
      <w:hyperlink r:id="rId16">
        <w:r w:rsidDel="00000000" w:rsidR="00000000" w:rsidRPr="00000000">
          <w:rPr>
            <w:color w:val="1155cc"/>
            <w:u w:val="single"/>
            <w:rtl w:val="0"/>
          </w:rPr>
          <w:t xml:space="preserve">Нижня Саксонія</w:t>
        </w:r>
      </w:hyperlink>
      <w:r w:rsidDel="00000000" w:rsidR="00000000" w:rsidRPr="00000000">
        <w:rPr>
          <w:rtl w:val="0"/>
        </w:rPr>
      </w:r>
    </w:p>
    <w:p w:rsidR="00000000" w:rsidDel="00000000" w:rsidP="00000000" w:rsidRDefault="00000000" w:rsidRPr="00000000" w14:paraId="0000001F">
      <w:pPr>
        <w:pageBreakBefore w:val="0"/>
        <w:numPr>
          <w:ilvl w:val="0"/>
          <w:numId w:val="2"/>
        </w:numPr>
        <w:ind w:left="720" w:hanging="360"/>
        <w:rPr>
          <w:u w:val="none"/>
        </w:rPr>
      </w:pPr>
      <w:hyperlink r:id="rId17">
        <w:r w:rsidDel="00000000" w:rsidR="00000000" w:rsidRPr="00000000">
          <w:rPr>
            <w:color w:val="1155cc"/>
            <w:u w:val="single"/>
            <w:rtl w:val="0"/>
          </w:rPr>
          <w:t xml:space="preserve">Північна Рейн-Вестфалія</w:t>
        </w:r>
      </w:hyperlink>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u w:val="none"/>
        </w:rPr>
      </w:pPr>
      <w:hyperlink r:id="rId18">
        <w:r w:rsidDel="00000000" w:rsidR="00000000" w:rsidRPr="00000000">
          <w:rPr>
            <w:color w:val="1155cc"/>
            <w:u w:val="single"/>
            <w:rtl w:val="0"/>
          </w:rPr>
          <w:t xml:space="preserve">Рейнланд-Пфальц</w:t>
        </w:r>
      </w:hyperlink>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u w:val="none"/>
        </w:rPr>
      </w:pPr>
      <w:hyperlink r:id="rId19">
        <w:r w:rsidDel="00000000" w:rsidR="00000000" w:rsidRPr="00000000">
          <w:rPr>
            <w:color w:val="1155cc"/>
            <w:u w:val="single"/>
            <w:rtl w:val="0"/>
          </w:rPr>
          <w:t xml:space="preserve">Саксонія</w:t>
        </w:r>
      </w:hyperlink>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u w:val="none"/>
        </w:rPr>
      </w:pPr>
      <w:hyperlink r:id="rId20">
        <w:r w:rsidDel="00000000" w:rsidR="00000000" w:rsidRPr="00000000">
          <w:rPr>
            <w:color w:val="1155cc"/>
            <w:u w:val="single"/>
            <w:rtl w:val="0"/>
          </w:rPr>
          <w:t xml:space="preserve">Саксонія-Ангальт</w:t>
        </w:r>
      </w:hyperlink>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u w:val="none"/>
        </w:rPr>
      </w:pPr>
      <w:hyperlink r:id="rId21">
        <w:r w:rsidDel="00000000" w:rsidR="00000000" w:rsidRPr="00000000">
          <w:rPr>
            <w:color w:val="1155cc"/>
            <w:u w:val="single"/>
            <w:rtl w:val="0"/>
          </w:rPr>
          <w:t xml:space="preserve">Тюрингія</w:t>
        </w:r>
      </w:hyperlink>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u w:val="none"/>
        </w:rPr>
      </w:pPr>
      <w:hyperlink r:id="rId22">
        <w:r w:rsidDel="00000000" w:rsidR="00000000" w:rsidRPr="00000000">
          <w:rPr>
            <w:color w:val="1155cc"/>
            <w:u w:val="single"/>
            <w:rtl w:val="0"/>
          </w:rPr>
          <w:t xml:space="preserve">Шлезвіг-Гольштейн</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color w:val="660000"/>
        </w:rPr>
      </w:pPr>
      <w:r w:rsidDel="00000000" w:rsidR="00000000" w:rsidRPr="00000000">
        <w:rPr>
          <w:color w:val="660000"/>
          <w:rtl w:val="0"/>
        </w:rPr>
        <w:t xml:space="preserve">Оскільки блінденгельд виплачуються місцевою владою, при переїзді в іншу федеральну землю особа втрачає пільгу. Блінденгельд доведеться знову оформляти за новим місцем реєстрації. Важливо зазначити, що в деяких федеральних землях нові мешканці не можуть одразу отримати виплату. Для цього потрібно певний час перебувати на новому місці.</w:t>
      </w:r>
    </w:p>
    <w:p w:rsidR="00000000" w:rsidDel="00000000" w:rsidP="00000000" w:rsidRDefault="00000000" w:rsidRPr="00000000" w14:paraId="00000027">
      <w:pPr>
        <w:pageBreakBefore w:val="0"/>
        <w:rPr/>
      </w:pPr>
      <w:r w:rsidDel="00000000" w:rsidR="00000000" w:rsidRPr="00000000">
        <w:rPr>
          <w:rtl w:val="0"/>
        </w:rPr>
        <w:t xml:space="preserve">Будьте уважними та послідовними. Використовуйте німецьку соціально подушку, але пам‘ятайте: вона не для сну, вона для розвитку.</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i w:val="1"/>
        </w:rPr>
      </w:pPr>
      <w:r w:rsidDel="00000000" w:rsidR="00000000" w:rsidRPr="00000000">
        <w:rPr>
          <w:i w:val="1"/>
          <w:rtl w:val="0"/>
        </w:rPr>
        <w:t xml:space="preserve">Von Julia Mostowa</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vwa.sachsen-anhalt.de/das-lvwa/soziales/schwerbehindertenrecht/kontakt/" TargetMode="External"/><Relationship Id="rId11" Type="http://schemas.openxmlformats.org/officeDocument/2006/relationships/hyperlink" Target="https://www.service.bremen.de/dienstleistungen/landespflegegeld-fuer-blinde-und-schwerstbehinderte-menschen-11443" TargetMode="External"/><Relationship Id="rId22" Type="http://schemas.openxmlformats.org/officeDocument/2006/relationships/hyperlink" Target="https://www.schleswig-holstein.de/DE/landesregierung/themen/soziales/blindengeld-blindenhilfe/blindengeld-blindenhilfe_node.html" TargetMode="External"/><Relationship Id="rId10" Type="http://schemas.openxmlformats.org/officeDocument/2006/relationships/hyperlink" Target="https://msgiv.brandenburg.de/msgiv/de/themen/soziales/soziale-leistungen/" TargetMode="External"/><Relationship Id="rId21" Type="http://schemas.openxmlformats.org/officeDocument/2006/relationships/hyperlink" Target="https://www.erfurt.de/ef/de/rathaus/bservice/leistungen/leistung-1767.htmc" TargetMode="External"/><Relationship Id="rId13" Type="http://schemas.openxmlformats.org/officeDocument/2006/relationships/hyperlink" Target="https://www.lwv-hessen.de/leben-wohnen/leben-mit-blindheitgehoerlosigkeit/blindengeld/" TargetMode="External"/><Relationship Id="rId12" Type="http://schemas.openxmlformats.org/officeDocument/2006/relationships/hyperlink" Target="https://www.hamburg.de/behoerdenfinder/info/1125507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vice.berlin.de/dienstleistung/324555/" TargetMode="External"/><Relationship Id="rId15" Type="http://schemas.openxmlformats.org/officeDocument/2006/relationships/hyperlink" Target="https://www.regierung-mv.de/Landesregierung/sm/Soziales/Behinderungen/Blindengeld/" TargetMode="External"/><Relationship Id="rId14" Type="http://schemas.openxmlformats.org/officeDocument/2006/relationships/hyperlink" Target="https://www.saarland.de/las/DE/themen/blindheitshilfe/blindheitshilfe_node.html" TargetMode="External"/><Relationship Id="rId17" Type="http://schemas.openxmlformats.org/officeDocument/2006/relationships/hyperlink" Target="https://www.lwl-inklusionsamt-soziale-teilhabe.de/de/hilfen/blindengeld/" TargetMode="External"/><Relationship Id="rId16" Type="http://schemas.openxmlformats.org/officeDocument/2006/relationships/hyperlink" Target="https://soziales.niedersachsen.de/startseite/soziales_amp_gesundheit/soziale_forderungen/landesblindengeld/landesblindengeld-248.html" TargetMode="External"/><Relationship Id="rId5" Type="http://schemas.openxmlformats.org/officeDocument/2006/relationships/styles" Target="styles.xml"/><Relationship Id="rId19" Type="http://schemas.openxmlformats.org/officeDocument/2006/relationships/hyperlink" Target="https://amt24.sachsen.de/zufi/leistungen/6000248" TargetMode="External"/><Relationship Id="rId6" Type="http://schemas.openxmlformats.org/officeDocument/2006/relationships/customXml" Target="../customXML/item1.xml"/><Relationship Id="rId18" Type="http://schemas.openxmlformats.org/officeDocument/2006/relationships/hyperlink" Target="https://www.lwl-inklusionsamt-soziale-teilhabe.de/de/hilfen/blindengeld/" TargetMode="External"/><Relationship Id="rId7" Type="http://schemas.openxmlformats.org/officeDocument/2006/relationships/hyperlink" Target="https://www.zbfs.bayern.de/menschen-behinderung/blindengeld/index.php" TargetMode="External"/><Relationship Id="rId8" Type="http://schemas.openxmlformats.org/officeDocument/2006/relationships/hyperlink" Target="https://www.service-bw.de/zufi/leistungen/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1rHkip22MXCYKEdoOUcFTjs9Ug==">AMUW2mXYMOxUADXhUPWouFp4xXgae6hjJbOMzH5BKQ/UQ0dhShz2Ifsh2syGyuSw1omVPdGuFc9lmm8jKBaiYqZ8AvtsR9l65UQ2crwp9JPHwqgtCZaWH3dBgwszlU4T2Mg08PcU0XsPVDYvByXTrl2LHvWeKxDiZ9P7XbzmGCgM8ojCCeAcV5g=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